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F7" w:rsidRPr="00AA34F7" w:rsidRDefault="00AA34F7" w:rsidP="00AC0505">
      <w:pPr>
        <w:spacing w:after="0" w:line="360" w:lineRule="auto"/>
        <w:jc w:val="both"/>
        <w:rPr>
          <w:rFonts w:ascii="Palatino Linotype" w:hAnsi="Palatino Linotype"/>
          <w:sz w:val="24"/>
          <w:szCs w:val="24"/>
        </w:rPr>
      </w:pPr>
      <w:r w:rsidRPr="00CC5301">
        <w:rPr>
          <w:rFonts w:ascii="Palatino Linotype" w:hAnsi="Palatino Linotype"/>
          <w:b/>
          <w:sz w:val="24"/>
          <w:szCs w:val="24"/>
        </w:rPr>
        <w:t>VOTO PARTICULAR QUE FORMULA LA COMISIONADA PRESIDENTA ZULEMA MARTÍNEZ SÁNCHEZ, EN RELACIÓN CON LA RESOLUCIÓN DICTADA POR EL PLENO DEL INSTITUTO DE TRANSPARENCIA, ACCESO A LA INFORMACIÓN PÚBLICA Y PROTECCIÓN DE DATOS PERSONALES DEL ESTADO DE MÉXICO Y MUNICIPIOS, EN LA</w:t>
      </w:r>
      <w:r>
        <w:rPr>
          <w:rFonts w:ascii="Palatino Linotype" w:hAnsi="Palatino Linotype"/>
          <w:b/>
          <w:sz w:val="24"/>
          <w:szCs w:val="24"/>
        </w:rPr>
        <w:t xml:space="preserve"> CUADRAGÉSIMA SEXTA SESIÓN ORDINARIA DEL DOCE DE DICIEMBRE DE DOS MIL DIECIOCHO, EN EL RECURSO DE </w:t>
      </w:r>
      <w:r w:rsidRPr="00AA34F7">
        <w:rPr>
          <w:rFonts w:ascii="Palatino Linotype" w:hAnsi="Palatino Linotype"/>
          <w:b/>
          <w:sz w:val="24"/>
          <w:szCs w:val="24"/>
        </w:rPr>
        <w:t>REVISIÓN 03887/INFOEM/IP/RR/2018.</w:t>
      </w:r>
      <w:r>
        <w:rPr>
          <w:rFonts w:ascii="Palatino Linotype" w:hAnsi="Palatino Linotype"/>
          <w:sz w:val="24"/>
          <w:szCs w:val="24"/>
        </w:rPr>
        <w:t xml:space="preserve"> </w:t>
      </w:r>
    </w:p>
    <w:p w:rsidR="00AA34F7" w:rsidRDefault="00AA34F7" w:rsidP="00AC0505">
      <w:pPr>
        <w:spacing w:after="0" w:line="360" w:lineRule="auto"/>
        <w:jc w:val="both"/>
        <w:rPr>
          <w:rFonts w:ascii="Palatino Linotype" w:hAnsi="Palatino Linotype"/>
          <w:b/>
          <w:sz w:val="24"/>
          <w:szCs w:val="24"/>
        </w:rPr>
      </w:pPr>
    </w:p>
    <w:p w:rsidR="00A56FBB" w:rsidRPr="00CC5301" w:rsidRDefault="00AC0505" w:rsidP="00615762">
      <w:pPr>
        <w:spacing w:after="0" w:line="336" w:lineRule="auto"/>
        <w:jc w:val="both"/>
        <w:rPr>
          <w:rFonts w:ascii="Palatino Linotype" w:hAnsi="Palatino Linotype"/>
        </w:rPr>
      </w:pPr>
      <w:r w:rsidRPr="00CC5301">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w:t>
      </w:r>
      <w:r w:rsidR="00A56FBB" w:rsidRPr="00CC5301">
        <w:rPr>
          <w:rFonts w:ascii="Palatino Linotype" w:hAnsi="Palatino Linotype"/>
        </w:rPr>
        <w:t xml:space="preserve">la Comisionada </w:t>
      </w:r>
      <w:r w:rsidR="0069147F" w:rsidRPr="00CC5301">
        <w:rPr>
          <w:rFonts w:ascii="Palatino Linotype" w:hAnsi="Palatino Linotype"/>
        </w:rPr>
        <w:t xml:space="preserve">Presidenta </w:t>
      </w:r>
      <w:r w:rsidR="00A56FBB" w:rsidRPr="00CC5301">
        <w:rPr>
          <w:rFonts w:ascii="Palatino Linotype" w:hAnsi="Palatino Linotype"/>
        </w:rPr>
        <w:t xml:space="preserve">Zulema Martínez Sánchez emite </w:t>
      </w:r>
      <w:r w:rsidR="00A56FBB" w:rsidRPr="00CC5301">
        <w:rPr>
          <w:rFonts w:ascii="Palatino Linotype" w:hAnsi="Palatino Linotype"/>
          <w:b/>
        </w:rPr>
        <w:t>VOTO PARTICULAR</w:t>
      </w:r>
      <w:r w:rsidR="00A56FBB" w:rsidRPr="00CC5301">
        <w:rPr>
          <w:rFonts w:ascii="Palatino Linotype" w:hAnsi="Palatino Linotype"/>
        </w:rPr>
        <w:t xml:space="preserve"> respect</w:t>
      </w:r>
      <w:r w:rsidR="00E10CC9">
        <w:rPr>
          <w:rFonts w:ascii="Palatino Linotype" w:hAnsi="Palatino Linotype"/>
        </w:rPr>
        <w:t>o</w:t>
      </w:r>
      <w:r w:rsidR="00816CB7">
        <w:rPr>
          <w:rFonts w:ascii="Palatino Linotype" w:hAnsi="Palatino Linotype"/>
        </w:rPr>
        <w:t xml:space="preserve"> de la resolución dictada en el</w:t>
      </w:r>
      <w:r w:rsidR="00A56FBB" w:rsidRPr="00CC5301">
        <w:rPr>
          <w:rFonts w:ascii="Palatino Linotype" w:hAnsi="Palatino Linotype"/>
        </w:rPr>
        <w:t xml:space="preserve"> recurso de revisión </w:t>
      </w:r>
      <w:r w:rsidR="00AA34F7">
        <w:rPr>
          <w:rFonts w:ascii="Palatino Linotype" w:hAnsi="Palatino Linotype"/>
          <w:b/>
        </w:rPr>
        <w:t>03887</w:t>
      </w:r>
      <w:r w:rsidR="00A56FBB" w:rsidRPr="00CC5301">
        <w:rPr>
          <w:rFonts w:ascii="Palatino Linotype" w:hAnsi="Palatino Linotype"/>
          <w:b/>
        </w:rPr>
        <w:t>/INFOEM/IP/RR/2018,</w:t>
      </w:r>
      <w:r w:rsidR="00A56FBB" w:rsidRPr="00CC5301">
        <w:rPr>
          <w:rFonts w:ascii="Palatino Linotype" w:hAnsi="Palatino Linotype"/>
        </w:rPr>
        <w:t xml:space="preserve"> pronunciada por el Pleno de este Instituto ante el proyecto presentado por </w:t>
      </w:r>
      <w:r w:rsidR="002B2DC5">
        <w:rPr>
          <w:rFonts w:ascii="Palatino Linotype" w:hAnsi="Palatino Linotype"/>
        </w:rPr>
        <w:t>la</w:t>
      </w:r>
      <w:r w:rsidR="00A56FBB" w:rsidRPr="00CC5301">
        <w:rPr>
          <w:rFonts w:ascii="Palatino Linotype" w:hAnsi="Palatino Linotype"/>
        </w:rPr>
        <w:t xml:space="preserve"> Comisionad</w:t>
      </w:r>
      <w:r w:rsidR="002B2DC5">
        <w:rPr>
          <w:rFonts w:ascii="Palatino Linotype" w:hAnsi="Palatino Linotype"/>
        </w:rPr>
        <w:t xml:space="preserve">a Eva </w:t>
      </w:r>
      <w:proofErr w:type="spellStart"/>
      <w:r w:rsidR="002B2DC5">
        <w:rPr>
          <w:rFonts w:ascii="Palatino Linotype" w:hAnsi="Palatino Linotype"/>
        </w:rPr>
        <w:t>Abaid</w:t>
      </w:r>
      <w:proofErr w:type="spellEnd"/>
      <w:r w:rsidR="002B2DC5">
        <w:rPr>
          <w:rFonts w:ascii="Palatino Linotype" w:hAnsi="Palatino Linotype"/>
        </w:rPr>
        <w:t xml:space="preserve"> </w:t>
      </w:r>
      <w:proofErr w:type="spellStart"/>
      <w:r w:rsidR="002B2DC5">
        <w:rPr>
          <w:rFonts w:ascii="Palatino Linotype" w:hAnsi="Palatino Linotype"/>
        </w:rPr>
        <w:t>Yapur</w:t>
      </w:r>
      <w:proofErr w:type="spellEnd"/>
      <w:r w:rsidR="00A56FBB" w:rsidRPr="00CC5301">
        <w:rPr>
          <w:rFonts w:ascii="Palatino Linotype" w:hAnsi="Palatino Linotype"/>
        </w:rPr>
        <w:t>, que es del tenor siguiente:</w:t>
      </w:r>
    </w:p>
    <w:p w:rsidR="00A56FBB" w:rsidRPr="00CC5301" w:rsidRDefault="00A56FBB" w:rsidP="00615762">
      <w:pPr>
        <w:spacing w:after="0" w:line="336" w:lineRule="auto"/>
        <w:jc w:val="both"/>
        <w:rPr>
          <w:rFonts w:ascii="Palatino Linotype" w:hAnsi="Palatino Linotype"/>
        </w:rPr>
      </w:pPr>
    </w:p>
    <w:p w:rsidR="000B6A84" w:rsidRPr="00CC5301" w:rsidRDefault="00A56FBB" w:rsidP="00615762">
      <w:pPr>
        <w:spacing w:after="0" w:line="336" w:lineRule="auto"/>
        <w:jc w:val="both"/>
        <w:rPr>
          <w:rFonts w:ascii="Palatino Linotype" w:hAnsi="Palatino Linotype"/>
        </w:rPr>
      </w:pPr>
      <w:r w:rsidRPr="00CC5301">
        <w:rPr>
          <w:rFonts w:ascii="Palatino Linotype" w:hAnsi="Palatino Linotype"/>
        </w:rPr>
        <w:t>En primer término</w:t>
      </w:r>
      <w:r w:rsidR="000B6A84" w:rsidRPr="00CC5301">
        <w:rPr>
          <w:rFonts w:ascii="Palatino Linotype" w:hAnsi="Palatino Linotype"/>
        </w:rPr>
        <w:t xml:space="preserve"> debemos referir que </w:t>
      </w:r>
      <w:r w:rsidR="00FA30C9" w:rsidRPr="00CC5301">
        <w:rPr>
          <w:rFonts w:ascii="Palatino Linotype" w:hAnsi="Palatino Linotype"/>
        </w:rPr>
        <w:t xml:space="preserve">se comparte el sentido en general de la resolución presentada por </w:t>
      </w:r>
      <w:r w:rsidR="002B2DC5">
        <w:rPr>
          <w:rFonts w:ascii="Palatino Linotype" w:hAnsi="Palatino Linotype"/>
        </w:rPr>
        <w:t>la</w:t>
      </w:r>
      <w:r w:rsidR="00FA30C9" w:rsidRPr="00CC5301">
        <w:rPr>
          <w:rFonts w:ascii="Palatino Linotype" w:hAnsi="Palatino Linotype"/>
        </w:rPr>
        <w:t xml:space="preserve"> Comisionad</w:t>
      </w:r>
      <w:r w:rsidR="00E10CC9">
        <w:rPr>
          <w:rFonts w:ascii="Palatino Linotype" w:hAnsi="Palatino Linotype"/>
        </w:rPr>
        <w:t>o</w:t>
      </w:r>
      <w:r w:rsidR="00FA30C9" w:rsidRPr="00CC5301">
        <w:rPr>
          <w:rFonts w:ascii="Palatino Linotype" w:hAnsi="Palatino Linotype"/>
        </w:rPr>
        <w:t xml:space="preserve"> Ponente, no obstante se hará mención de un punto que en </w:t>
      </w:r>
      <w:proofErr w:type="gramStart"/>
      <w:r w:rsidR="00FA30C9" w:rsidRPr="00CC5301">
        <w:rPr>
          <w:rFonts w:ascii="Palatino Linotype" w:hAnsi="Palatino Linotype"/>
        </w:rPr>
        <w:t>opinión</w:t>
      </w:r>
      <w:proofErr w:type="gramEnd"/>
      <w:r w:rsidR="00FA30C9" w:rsidRPr="00CC5301">
        <w:rPr>
          <w:rFonts w:ascii="Palatino Linotype" w:hAnsi="Palatino Linotype"/>
        </w:rPr>
        <w:t xml:space="preserve"> de quien suscribe, se debió tomar en consideración al momento de resolver </w:t>
      </w:r>
      <w:r w:rsidR="00E10CC9">
        <w:rPr>
          <w:rFonts w:ascii="Palatino Linotype" w:hAnsi="Palatino Linotype"/>
        </w:rPr>
        <w:t xml:space="preserve">los </w:t>
      </w:r>
      <w:r w:rsidR="00FA30C9" w:rsidRPr="00CC5301">
        <w:rPr>
          <w:rFonts w:ascii="Palatino Linotype" w:hAnsi="Palatino Linotype"/>
        </w:rPr>
        <w:t>recurso</w:t>
      </w:r>
      <w:r w:rsidR="00E10CC9">
        <w:rPr>
          <w:rFonts w:ascii="Palatino Linotype" w:hAnsi="Palatino Linotype"/>
        </w:rPr>
        <w:t>s</w:t>
      </w:r>
      <w:r w:rsidR="00FA30C9" w:rsidRPr="00CC5301">
        <w:rPr>
          <w:rFonts w:ascii="Palatino Linotype" w:hAnsi="Palatino Linotype"/>
        </w:rPr>
        <w:t xml:space="preserve"> que nos ocupa</w:t>
      </w:r>
      <w:r w:rsidR="00E10CC9">
        <w:rPr>
          <w:rFonts w:ascii="Palatino Linotype" w:hAnsi="Palatino Linotype"/>
        </w:rPr>
        <w:t>n</w:t>
      </w:r>
      <w:r w:rsidR="00FA30C9" w:rsidRPr="00CC5301">
        <w:rPr>
          <w:rFonts w:ascii="Palatino Linotype" w:hAnsi="Palatino Linotype"/>
        </w:rPr>
        <w:t xml:space="preserve">. </w:t>
      </w:r>
    </w:p>
    <w:p w:rsidR="00DB4459" w:rsidRDefault="00DB4459" w:rsidP="00615762">
      <w:pPr>
        <w:spacing w:after="0" w:line="336" w:lineRule="auto"/>
        <w:jc w:val="both"/>
        <w:rPr>
          <w:rFonts w:ascii="Palatino Linotype" w:hAnsi="Palatino Linotype"/>
        </w:rPr>
      </w:pPr>
    </w:p>
    <w:p w:rsidR="00816CB7" w:rsidRPr="00520B08" w:rsidRDefault="00FA30C9" w:rsidP="00615762">
      <w:pPr>
        <w:spacing w:after="0" w:line="336" w:lineRule="auto"/>
        <w:jc w:val="both"/>
        <w:rPr>
          <w:rFonts w:ascii="Palatino Linotype" w:hAnsi="Palatino Linotype"/>
        </w:rPr>
      </w:pPr>
      <w:r w:rsidRPr="00CC5301">
        <w:rPr>
          <w:rFonts w:ascii="Palatino Linotype" w:hAnsi="Palatino Linotype"/>
        </w:rPr>
        <w:t xml:space="preserve">Para tal fin, es necesario </w:t>
      </w:r>
      <w:r w:rsidR="00597ACE" w:rsidRPr="00CC5301">
        <w:rPr>
          <w:rFonts w:ascii="Palatino Linotype" w:hAnsi="Palatino Linotype"/>
        </w:rPr>
        <w:t xml:space="preserve">traer a colación que mediante </w:t>
      </w:r>
      <w:r w:rsidR="00816CB7">
        <w:rPr>
          <w:rFonts w:ascii="Palatino Linotype" w:hAnsi="Palatino Linotype"/>
        </w:rPr>
        <w:t xml:space="preserve">la solicitud de información </w:t>
      </w:r>
      <w:r w:rsidR="00AA34F7">
        <w:rPr>
          <w:rFonts w:ascii="Palatino Linotype" w:hAnsi="Palatino Linotype"/>
          <w:b/>
        </w:rPr>
        <w:t>00148/TEXCOCO</w:t>
      </w:r>
      <w:r w:rsidR="00520B08">
        <w:rPr>
          <w:rFonts w:ascii="Palatino Linotype" w:hAnsi="Palatino Linotype"/>
          <w:b/>
        </w:rPr>
        <w:t xml:space="preserve">/IP/2018 </w:t>
      </w:r>
      <w:r w:rsidR="00520B08">
        <w:rPr>
          <w:rFonts w:ascii="Palatino Linotype" w:hAnsi="Palatino Linotype"/>
        </w:rPr>
        <w:t xml:space="preserve">el particular requirió la siguiente información: </w:t>
      </w:r>
    </w:p>
    <w:p w:rsidR="00AA34F7" w:rsidRPr="00AA34F7" w:rsidRDefault="00AA34F7" w:rsidP="00AA34F7">
      <w:pPr>
        <w:spacing w:before="240" w:line="360" w:lineRule="auto"/>
        <w:ind w:left="851" w:right="851"/>
        <w:jc w:val="both"/>
        <w:rPr>
          <w:rFonts w:ascii="Palatino Linotype" w:hAnsi="Palatino Linotype" w:cs="Arial"/>
          <w:b/>
          <w:i/>
          <w:color w:val="000000"/>
        </w:rPr>
      </w:pPr>
      <w:r w:rsidRPr="00AA34F7">
        <w:rPr>
          <w:rFonts w:ascii="Palatino Linotype" w:hAnsi="Palatino Linotype" w:cs="Arial"/>
          <w:i/>
          <w:color w:val="000000"/>
        </w:rPr>
        <w:t xml:space="preserve">“Información de Actas de Fallo de la </w:t>
      </w:r>
      <w:proofErr w:type="spellStart"/>
      <w:r w:rsidRPr="00AA34F7">
        <w:rPr>
          <w:rFonts w:ascii="Palatino Linotype" w:hAnsi="Palatino Linotype" w:cs="Arial"/>
          <w:i/>
          <w:color w:val="000000"/>
        </w:rPr>
        <w:t>Direccion</w:t>
      </w:r>
      <w:proofErr w:type="spellEnd"/>
      <w:r w:rsidRPr="00AA34F7">
        <w:rPr>
          <w:rFonts w:ascii="Palatino Linotype" w:hAnsi="Palatino Linotype" w:cs="Arial"/>
          <w:i/>
          <w:color w:val="000000"/>
        </w:rPr>
        <w:t xml:space="preserve"> de Obras Publicas” </w:t>
      </w:r>
      <w:r w:rsidRPr="00AA34F7">
        <w:rPr>
          <w:rFonts w:ascii="Palatino Linotype" w:hAnsi="Palatino Linotype" w:cs="Arial"/>
          <w:b/>
          <w:i/>
          <w:color w:val="000000"/>
        </w:rPr>
        <w:t>[Sic]</w:t>
      </w:r>
    </w:p>
    <w:p w:rsidR="00AA34F7" w:rsidRDefault="00AA34F7" w:rsidP="00AA34F7">
      <w:pPr>
        <w:spacing w:before="240" w:line="360" w:lineRule="auto"/>
        <w:ind w:right="851"/>
        <w:jc w:val="both"/>
        <w:rPr>
          <w:rFonts w:ascii="Palatino Linotype" w:hAnsi="Palatino Linotype" w:cs="Arial"/>
          <w:sz w:val="24"/>
          <w:szCs w:val="24"/>
        </w:rPr>
      </w:pPr>
      <w:r w:rsidRPr="00AA34F7">
        <w:rPr>
          <w:rFonts w:ascii="Palatino Linotype" w:hAnsi="Palatino Linotype" w:cs="Arial"/>
          <w:sz w:val="24"/>
          <w:szCs w:val="24"/>
        </w:rPr>
        <w:lastRenderedPageBreak/>
        <w:t xml:space="preserve">Adjuntado a su solicitud el archivo electrónico denominado </w:t>
      </w:r>
      <w:hyperlink r:id="rId7" w:tgtFrame="_blank" w:history="1">
        <w:r w:rsidRPr="00AA34F7">
          <w:rPr>
            <w:rFonts w:ascii="Palatino Linotype" w:hAnsi="Palatino Linotype"/>
            <w:b/>
            <w:sz w:val="24"/>
            <w:szCs w:val="24"/>
          </w:rPr>
          <w:t>Solicitud de Información.pdf</w:t>
        </w:r>
      </w:hyperlink>
      <w:r w:rsidRPr="00AA34F7">
        <w:rPr>
          <w:rFonts w:ascii="Palatino Linotype" w:hAnsi="Palatino Linotype" w:cs="Arial"/>
          <w:b/>
          <w:sz w:val="24"/>
          <w:szCs w:val="24"/>
        </w:rPr>
        <w:t xml:space="preserve">, </w:t>
      </w:r>
      <w:r w:rsidRPr="00AA34F7">
        <w:rPr>
          <w:rFonts w:ascii="Palatino Linotype" w:hAnsi="Palatino Linotype" w:cs="Arial"/>
          <w:sz w:val="24"/>
          <w:szCs w:val="24"/>
        </w:rPr>
        <w:t>el cual contiene la solicitud de información en los términos que a continuación se inserta</w:t>
      </w:r>
      <w:r>
        <w:rPr>
          <w:rFonts w:ascii="Palatino Linotype" w:hAnsi="Palatino Linotype" w:cs="Arial"/>
          <w:sz w:val="24"/>
          <w:szCs w:val="24"/>
        </w:rPr>
        <w:t xml:space="preserve">: </w:t>
      </w:r>
    </w:p>
    <w:p w:rsidR="00AA34F7" w:rsidRDefault="00B837D5" w:rsidP="00B837D5">
      <w:pPr>
        <w:spacing w:before="240" w:line="360" w:lineRule="auto"/>
        <w:ind w:right="851"/>
        <w:jc w:val="center"/>
        <w:rPr>
          <w:rFonts w:ascii="Palatino Linotype" w:hAnsi="Palatino Linotype" w:cs="Arial"/>
          <w:sz w:val="24"/>
          <w:szCs w:val="24"/>
        </w:rPr>
      </w:pPr>
      <w:r>
        <w:rPr>
          <w:noProof/>
          <w:lang w:eastAsia="es-MX"/>
        </w:rPr>
        <w:drawing>
          <wp:inline distT="0" distB="0" distL="0" distR="0" wp14:anchorId="038F6E8C" wp14:editId="12F826E8">
            <wp:extent cx="4658995" cy="505703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47" t="15459" r="29593" b="9229"/>
                    <a:stretch/>
                  </pic:blipFill>
                  <pic:spPr bwMode="auto">
                    <a:xfrm>
                      <a:off x="0" y="0"/>
                      <a:ext cx="4684970" cy="5085224"/>
                    </a:xfrm>
                    <a:prstGeom prst="rect">
                      <a:avLst/>
                    </a:prstGeom>
                    <a:ln>
                      <a:noFill/>
                    </a:ln>
                    <a:extLst>
                      <a:ext uri="{53640926-AAD7-44D8-BBD7-CCE9431645EC}">
                        <a14:shadowObscured xmlns:a14="http://schemas.microsoft.com/office/drawing/2010/main"/>
                      </a:ext>
                    </a:extLst>
                  </pic:spPr>
                </pic:pic>
              </a:graphicData>
            </a:graphic>
          </wp:inline>
        </w:drawing>
      </w:r>
    </w:p>
    <w:p w:rsidR="00AA34F7" w:rsidRDefault="00AA34F7" w:rsidP="00615762">
      <w:pPr>
        <w:spacing w:after="0" w:line="336" w:lineRule="auto"/>
        <w:jc w:val="both"/>
        <w:rPr>
          <w:rFonts w:ascii="Palatino Linotype" w:hAnsi="Palatino Linotype"/>
          <w:sz w:val="24"/>
          <w:szCs w:val="24"/>
        </w:rPr>
      </w:pPr>
      <w:bookmarkStart w:id="0" w:name="_GoBack"/>
      <w:bookmarkEnd w:id="0"/>
      <w:r w:rsidRPr="00AA34F7">
        <w:rPr>
          <w:rFonts w:ascii="Palatino Linotype" w:hAnsi="Palatino Linotype"/>
          <w:sz w:val="24"/>
          <w:szCs w:val="24"/>
        </w:rPr>
        <w:lastRenderedPageBreak/>
        <w:t xml:space="preserve">En ese </w:t>
      </w:r>
      <w:r>
        <w:rPr>
          <w:rFonts w:ascii="Palatino Linotype" w:hAnsi="Palatino Linotype"/>
          <w:sz w:val="24"/>
          <w:szCs w:val="24"/>
        </w:rPr>
        <w:t>contexto</w:t>
      </w:r>
      <w:r w:rsidR="00BA6F7E">
        <w:rPr>
          <w:rFonts w:ascii="Palatino Linotype" w:hAnsi="Palatino Linotype"/>
          <w:sz w:val="24"/>
          <w:szCs w:val="24"/>
        </w:rPr>
        <w:t xml:space="preserve">, debe precisarse que el diez de octubre de los corrientes </w:t>
      </w:r>
      <w:r w:rsidR="00BA6F7E">
        <w:rPr>
          <w:rFonts w:ascii="Palatino Linotype" w:hAnsi="Palatino Linotype"/>
          <w:b/>
          <w:sz w:val="24"/>
          <w:szCs w:val="24"/>
        </w:rPr>
        <w:t xml:space="preserve">El Sujeto Obligado </w:t>
      </w:r>
      <w:r w:rsidR="00BA6F7E">
        <w:rPr>
          <w:rFonts w:ascii="Palatino Linotype" w:hAnsi="Palatino Linotype"/>
          <w:sz w:val="24"/>
          <w:szCs w:val="24"/>
        </w:rPr>
        <w:t>notificó su respuesta, misma que señala a la literalidad:</w:t>
      </w:r>
    </w:p>
    <w:p w:rsidR="00BA6F7E" w:rsidRDefault="00BA6F7E" w:rsidP="00615762">
      <w:pPr>
        <w:spacing w:after="0" w:line="336" w:lineRule="auto"/>
        <w:jc w:val="both"/>
        <w:rPr>
          <w:rFonts w:ascii="Palatino Linotype" w:hAnsi="Palatino Linotype"/>
          <w:sz w:val="24"/>
          <w:szCs w:val="24"/>
        </w:rPr>
      </w:pPr>
    </w:p>
    <w:p w:rsidR="00BA6F7E" w:rsidRPr="00BA6F7E" w:rsidRDefault="00BA6F7E" w:rsidP="00BA6F7E">
      <w:pPr>
        <w:spacing w:before="240" w:line="360" w:lineRule="auto"/>
        <w:ind w:left="851" w:right="851"/>
        <w:jc w:val="both"/>
        <w:rPr>
          <w:rFonts w:ascii="Palatino Linotype" w:hAnsi="Palatino Linotype"/>
          <w:i/>
          <w:sz w:val="24"/>
          <w:szCs w:val="24"/>
        </w:rPr>
      </w:pPr>
      <w:r>
        <w:rPr>
          <w:rFonts w:ascii="Palatino Linotype" w:hAnsi="Palatino Linotype"/>
          <w:i/>
          <w:sz w:val="24"/>
          <w:szCs w:val="24"/>
        </w:rPr>
        <w:t xml:space="preserve">“Por medio de la presente y en relación a su solicitud de información una vez que esta fue analizada y turnada al área correspondiente nos remite 9 actas de fallo que se han llevado acabó en la dirección de Obras Públicas y de conformidad con los artículos 49 fracción VIII y 125, 128, 129 y demás relativos y aplicables de la Ley de Transparencia y Acceso a la Información Pública del Estado de México y Municipios. Se presenta en versión pública y formato abierto para el solicitante las cuales anexo a la presente, sin más por el momento quedo de usted”. </w:t>
      </w:r>
    </w:p>
    <w:p w:rsidR="00AA34F7" w:rsidRDefault="00AA34F7" w:rsidP="00615762">
      <w:pPr>
        <w:spacing w:after="0" w:line="336" w:lineRule="auto"/>
        <w:jc w:val="both"/>
        <w:rPr>
          <w:rFonts w:ascii="Palatino Linotype" w:hAnsi="Palatino Linotype"/>
        </w:rPr>
      </w:pPr>
    </w:p>
    <w:p w:rsidR="00BA6F7E" w:rsidRPr="008C4AA9" w:rsidRDefault="00BA6F7E" w:rsidP="00BA6F7E">
      <w:pPr>
        <w:spacing w:before="100" w:beforeAutospacing="1" w:after="100" w:afterAutospacing="1" w:line="360" w:lineRule="auto"/>
        <w:jc w:val="both"/>
        <w:rPr>
          <w:rFonts w:ascii="Palatino Linotype" w:hAnsi="Palatino Linotype"/>
        </w:rPr>
      </w:pPr>
      <w:r w:rsidRPr="008C4AA9">
        <w:rPr>
          <w:rFonts w:ascii="Palatino Linotype" w:hAnsi="Palatino Linotype"/>
        </w:rPr>
        <w:t>Adjuntando a ésta 9 archivos electrónicos en formato PDF de los cuales se omite su inserción</w:t>
      </w:r>
      <w:r w:rsidR="002B2DC5">
        <w:rPr>
          <w:rFonts w:ascii="Palatino Linotype" w:hAnsi="Palatino Linotype"/>
        </w:rPr>
        <w:t>, toda vez que</w:t>
      </w:r>
      <w:r w:rsidRPr="008C4AA9">
        <w:rPr>
          <w:rFonts w:ascii="Palatino Linotype" w:hAnsi="Palatino Linotype"/>
        </w:rPr>
        <w:t xml:space="preserve"> son del conocimiento de las partes</w:t>
      </w:r>
      <w:r w:rsidR="002B2DC5">
        <w:rPr>
          <w:rFonts w:ascii="Palatino Linotype" w:hAnsi="Palatino Linotype"/>
        </w:rPr>
        <w:t>.</w:t>
      </w:r>
    </w:p>
    <w:p w:rsidR="00BA6F7E" w:rsidRDefault="00054E77" w:rsidP="00615762">
      <w:pPr>
        <w:spacing w:after="0" w:line="336"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w:t>
      </w:r>
      <w:r w:rsidR="00BA6F7E">
        <w:rPr>
          <w:rFonts w:ascii="Palatino Linotype" w:hAnsi="Palatino Linotype"/>
        </w:rPr>
        <w:t xml:space="preserve">doce de octubre de los corrientes, señalando motivos de inconformidad, cuyo contenido literal es el del tenor siguiente: </w:t>
      </w:r>
    </w:p>
    <w:p w:rsidR="00D14EE5" w:rsidRPr="00BA6F7E" w:rsidRDefault="00BA6F7E" w:rsidP="00BA6F7E">
      <w:pPr>
        <w:spacing w:before="240" w:line="360" w:lineRule="auto"/>
        <w:ind w:left="851" w:right="851"/>
        <w:jc w:val="both"/>
        <w:rPr>
          <w:rFonts w:ascii="Palatino Linotype" w:hAnsi="Palatino Linotype"/>
          <w:i/>
        </w:rPr>
      </w:pPr>
      <w:r w:rsidRPr="00BA6F7E">
        <w:rPr>
          <w:rFonts w:ascii="Palatino Linotype" w:hAnsi="Palatino Linotype"/>
          <w:i/>
          <w:color w:val="000000"/>
        </w:rPr>
        <w:t xml:space="preserve"> “Respecto a la información solicitada, el ayuntamiento de Texcoco remitió 9 actas de fallo, que se han llevado acabó en la dirección de Obras </w:t>
      </w:r>
      <w:proofErr w:type="spellStart"/>
      <w:r w:rsidRPr="00BA6F7E">
        <w:rPr>
          <w:rFonts w:ascii="Palatino Linotype" w:hAnsi="Palatino Linotype"/>
          <w:i/>
          <w:color w:val="000000"/>
        </w:rPr>
        <w:t>Publicas</w:t>
      </w:r>
      <w:proofErr w:type="spellEnd"/>
      <w:r w:rsidRPr="00BA6F7E">
        <w:rPr>
          <w:rFonts w:ascii="Palatino Linotype" w:hAnsi="Palatino Linotype"/>
          <w:i/>
          <w:color w:val="000000"/>
        </w:rPr>
        <w:t xml:space="preserve">, de acuerdo a las actas adjuntadas a la respuesta por parte del Ayuntamiento, se desprende que </w:t>
      </w:r>
      <w:r w:rsidRPr="00BA6F7E">
        <w:rPr>
          <w:rFonts w:ascii="Palatino Linotype" w:hAnsi="Palatino Linotype"/>
          <w:i/>
          <w:color w:val="000000"/>
        </w:rPr>
        <w:lastRenderedPageBreak/>
        <w:t>dichas documentales se ENCUENTRAN con DAÑO, por lo que es imposible abrir dicha documental, quedando en incertidumbre jurídica el suscrito. Por lo anteriormente expuesto y fundado. Se solicita se vuelva a enviar la documentación de manera digital sin ninguna falla en ellas.</w:t>
      </w:r>
      <w:r w:rsidR="00D14EE5" w:rsidRPr="00BA6F7E">
        <w:rPr>
          <w:rFonts w:ascii="Palatino Linotype" w:hAnsi="Palatino Linotype"/>
          <w:i/>
          <w:color w:val="000000"/>
        </w:rPr>
        <w:t>” (Sic)</w:t>
      </w:r>
    </w:p>
    <w:p w:rsidR="00DD0673" w:rsidRPr="00E10CC9" w:rsidRDefault="00DD0673" w:rsidP="00AC0505">
      <w:pPr>
        <w:spacing w:after="0" w:line="360" w:lineRule="auto"/>
        <w:jc w:val="both"/>
        <w:rPr>
          <w:rFonts w:ascii="Palatino Linotype" w:hAnsi="Palatino Linotype"/>
        </w:rPr>
      </w:pPr>
    </w:p>
    <w:p w:rsidR="00BA6F7E" w:rsidRPr="00BA6F7E" w:rsidRDefault="00D14EE5" w:rsidP="00615762">
      <w:pPr>
        <w:spacing w:after="0" w:line="336" w:lineRule="auto"/>
        <w:jc w:val="both"/>
        <w:rPr>
          <w:rFonts w:ascii="Palatino Linotype" w:hAnsi="Palatino Linotype"/>
          <w:sz w:val="24"/>
          <w:szCs w:val="24"/>
        </w:rPr>
      </w:pPr>
      <w:r w:rsidRPr="00BA6F7E">
        <w:rPr>
          <w:rFonts w:ascii="Palatino Linotype" w:hAnsi="Palatino Linotype"/>
          <w:sz w:val="24"/>
          <w:szCs w:val="24"/>
        </w:rPr>
        <w:t xml:space="preserve">Asimismo, se precisa que </w:t>
      </w:r>
      <w:r w:rsidRPr="00BA6F7E">
        <w:rPr>
          <w:rFonts w:ascii="Palatino Linotype" w:hAnsi="Palatino Linotype"/>
          <w:b/>
          <w:sz w:val="24"/>
          <w:szCs w:val="24"/>
        </w:rPr>
        <w:t xml:space="preserve">El Sujeto Obligado </w:t>
      </w:r>
      <w:r w:rsidR="00BA6F7E" w:rsidRPr="00BA6F7E">
        <w:rPr>
          <w:rFonts w:ascii="Palatino Linotype" w:hAnsi="Palatino Linotype"/>
          <w:sz w:val="24"/>
          <w:szCs w:val="24"/>
        </w:rPr>
        <w:t xml:space="preserve">fue omiso en rendir su informe justificado. Por otra parte, </w:t>
      </w:r>
      <w:r w:rsidR="00BA6F7E">
        <w:rPr>
          <w:rFonts w:ascii="Palatino Linotype" w:hAnsi="Palatino Linotype"/>
          <w:sz w:val="24"/>
          <w:szCs w:val="24"/>
        </w:rPr>
        <w:t xml:space="preserve">se hace constar que </w:t>
      </w:r>
      <w:r w:rsidR="00BA6F7E">
        <w:rPr>
          <w:rFonts w:ascii="Palatino Linotype" w:hAnsi="Palatino Linotype"/>
          <w:b/>
          <w:sz w:val="24"/>
          <w:szCs w:val="24"/>
        </w:rPr>
        <w:t xml:space="preserve">El Recurrente, </w:t>
      </w:r>
      <w:r w:rsidR="00BA6F7E">
        <w:rPr>
          <w:rFonts w:ascii="Palatino Linotype" w:hAnsi="Palatino Linotype"/>
          <w:sz w:val="24"/>
          <w:szCs w:val="24"/>
        </w:rPr>
        <w:t xml:space="preserve">fue omiso en rendir las manifestaciones consideradas pertinentes, lo anterior en términos del artículo 185 </w:t>
      </w:r>
      <w:proofErr w:type="gramStart"/>
      <w:r w:rsidR="00BA6F7E">
        <w:rPr>
          <w:rFonts w:ascii="Palatino Linotype" w:hAnsi="Palatino Linotype"/>
          <w:sz w:val="24"/>
          <w:szCs w:val="24"/>
        </w:rPr>
        <w:t>fracción</w:t>
      </w:r>
      <w:proofErr w:type="gramEnd"/>
      <w:r w:rsidR="00BA6F7E">
        <w:rPr>
          <w:rFonts w:ascii="Palatino Linotype" w:hAnsi="Palatino Linotype"/>
          <w:sz w:val="24"/>
          <w:szCs w:val="24"/>
        </w:rPr>
        <w:t xml:space="preserve"> IV de la Ley de Transparencia y Acceso a la Información Pública del Estado de México y Municipios. </w:t>
      </w:r>
    </w:p>
    <w:p w:rsidR="00BA6F7E" w:rsidRDefault="00BA6F7E" w:rsidP="00615762">
      <w:pPr>
        <w:spacing w:after="0" w:line="336" w:lineRule="auto"/>
        <w:jc w:val="both"/>
        <w:rPr>
          <w:rFonts w:ascii="Palatino Linotype" w:hAnsi="Palatino Linotype"/>
          <w:b/>
        </w:rPr>
      </w:pPr>
    </w:p>
    <w:p w:rsidR="005D43C3" w:rsidRDefault="00472D9C" w:rsidP="00615762">
      <w:pPr>
        <w:spacing w:after="0" w:line="336" w:lineRule="auto"/>
        <w:jc w:val="both"/>
        <w:rPr>
          <w:rFonts w:ascii="Palatino Linotype" w:hAnsi="Palatino Linotype"/>
          <w:sz w:val="24"/>
          <w:szCs w:val="24"/>
        </w:rPr>
      </w:pPr>
      <w:r w:rsidRPr="00472D9C">
        <w:rPr>
          <w:rFonts w:ascii="Palatino Linotype" w:hAnsi="Palatino Linotype"/>
          <w:sz w:val="24"/>
          <w:szCs w:val="24"/>
        </w:rPr>
        <w:t xml:space="preserve">Una vez sentado lo anterior, </w:t>
      </w:r>
      <w:r w:rsidR="005D43C3">
        <w:rPr>
          <w:rFonts w:ascii="Palatino Linotype" w:hAnsi="Palatino Linotype"/>
          <w:sz w:val="24"/>
          <w:szCs w:val="24"/>
        </w:rPr>
        <w:t>es menester resaltar</w:t>
      </w:r>
      <w:r w:rsidRPr="00472D9C">
        <w:rPr>
          <w:rFonts w:ascii="Palatino Linotype" w:hAnsi="Palatino Linotype"/>
          <w:sz w:val="24"/>
          <w:szCs w:val="24"/>
        </w:rPr>
        <w:t xml:space="preserve"> que se comparte el criterio de la Ponencia </w:t>
      </w:r>
      <w:proofErr w:type="spellStart"/>
      <w:r w:rsidRPr="00472D9C">
        <w:rPr>
          <w:rFonts w:ascii="Palatino Linotype" w:hAnsi="Palatino Linotype"/>
          <w:sz w:val="24"/>
          <w:szCs w:val="24"/>
        </w:rPr>
        <w:t>Resolutora</w:t>
      </w:r>
      <w:proofErr w:type="spellEnd"/>
      <w:r w:rsidRPr="00472D9C">
        <w:rPr>
          <w:rFonts w:ascii="Palatino Linotype" w:hAnsi="Palatino Linotype"/>
          <w:sz w:val="24"/>
          <w:szCs w:val="24"/>
        </w:rPr>
        <w:t xml:space="preserve">, al ordenar </w:t>
      </w:r>
      <w:r>
        <w:rPr>
          <w:rFonts w:ascii="Palatino Linotype" w:hAnsi="Palatino Linotype"/>
          <w:sz w:val="24"/>
          <w:szCs w:val="24"/>
        </w:rPr>
        <w:t xml:space="preserve">nuevamente la entrega de la información remitida mediante respuesta de fecha diez de octubre del presente. Lo anterior, bajo la premisa de que fueron indebidamente testados diversos datos que resultan de </w:t>
      </w:r>
      <w:r w:rsidR="005D43C3">
        <w:rPr>
          <w:rFonts w:ascii="Palatino Linotype" w:hAnsi="Palatino Linotype"/>
          <w:sz w:val="24"/>
          <w:szCs w:val="24"/>
        </w:rPr>
        <w:t>interés</w:t>
      </w:r>
      <w:r>
        <w:rPr>
          <w:rFonts w:ascii="Palatino Linotype" w:hAnsi="Palatino Linotype"/>
          <w:sz w:val="24"/>
          <w:szCs w:val="24"/>
        </w:rPr>
        <w:t xml:space="preserve"> y alcance </w:t>
      </w:r>
      <w:r w:rsidR="005D43C3">
        <w:rPr>
          <w:rFonts w:ascii="Palatino Linotype" w:hAnsi="Palatino Linotype"/>
          <w:sz w:val="24"/>
          <w:szCs w:val="24"/>
        </w:rPr>
        <w:t>público</w:t>
      </w:r>
      <w:r>
        <w:rPr>
          <w:rFonts w:ascii="Palatino Linotype" w:hAnsi="Palatino Linotype"/>
          <w:sz w:val="24"/>
          <w:szCs w:val="24"/>
        </w:rPr>
        <w:t>, tales como la firma de los servidores públicos que intervinieron en el proceso de adjudicación o fallo de obra</w:t>
      </w:r>
      <w:r w:rsidR="005D43C3">
        <w:rPr>
          <w:rFonts w:ascii="Palatino Linotype" w:hAnsi="Palatino Linotype"/>
          <w:sz w:val="24"/>
          <w:szCs w:val="24"/>
        </w:rPr>
        <w:t>.</w:t>
      </w:r>
    </w:p>
    <w:p w:rsidR="005D43C3" w:rsidRDefault="005D43C3" w:rsidP="00615762">
      <w:pPr>
        <w:spacing w:after="0" w:line="336" w:lineRule="auto"/>
        <w:jc w:val="both"/>
        <w:rPr>
          <w:rFonts w:ascii="Palatino Linotype" w:hAnsi="Palatino Linotype"/>
          <w:sz w:val="24"/>
          <w:szCs w:val="24"/>
        </w:rPr>
      </w:pPr>
    </w:p>
    <w:p w:rsidR="001F5D24" w:rsidRDefault="00472D9C" w:rsidP="00615762">
      <w:pPr>
        <w:spacing w:after="0" w:line="336" w:lineRule="auto"/>
        <w:jc w:val="both"/>
        <w:rPr>
          <w:rFonts w:ascii="Palatino Linotype" w:hAnsi="Palatino Linotype"/>
        </w:rPr>
      </w:pPr>
      <w:r>
        <w:rPr>
          <w:rFonts w:ascii="Palatino Linotype" w:hAnsi="Palatino Linotype"/>
          <w:sz w:val="24"/>
          <w:szCs w:val="24"/>
        </w:rPr>
        <w:t xml:space="preserve"> </w:t>
      </w:r>
      <w:r w:rsidR="005D43C3" w:rsidRPr="005D43C3">
        <w:rPr>
          <w:rFonts w:ascii="Palatino Linotype" w:hAnsi="Palatino Linotype"/>
          <w:sz w:val="24"/>
          <w:szCs w:val="24"/>
        </w:rPr>
        <w:t xml:space="preserve">Ahora bien, la suscrita no comparte la postura adoptada por la Comisionada Ponente en cuanto a la modalidad de la entrega de la información. Si bien es cierto que la Ponencia </w:t>
      </w:r>
      <w:proofErr w:type="spellStart"/>
      <w:r w:rsidR="005D43C3" w:rsidRPr="005D43C3">
        <w:rPr>
          <w:rFonts w:ascii="Palatino Linotype" w:hAnsi="Palatino Linotype"/>
          <w:sz w:val="24"/>
          <w:szCs w:val="24"/>
        </w:rPr>
        <w:t>Resolutora</w:t>
      </w:r>
      <w:proofErr w:type="spellEnd"/>
      <w:r w:rsidR="005D43C3" w:rsidRPr="005D43C3">
        <w:rPr>
          <w:rFonts w:ascii="Palatino Linotype" w:hAnsi="Palatino Linotype"/>
          <w:sz w:val="24"/>
          <w:szCs w:val="24"/>
        </w:rPr>
        <w:t xml:space="preserve"> advierte </w:t>
      </w:r>
      <w:r w:rsidR="00453637">
        <w:rPr>
          <w:rFonts w:ascii="Palatino Linotype" w:hAnsi="Palatino Linotype"/>
          <w:sz w:val="24"/>
          <w:szCs w:val="24"/>
        </w:rPr>
        <w:t xml:space="preserve">en estudio </w:t>
      </w:r>
      <w:r w:rsidR="005D43C3" w:rsidRPr="005D43C3">
        <w:rPr>
          <w:rFonts w:ascii="Palatino Linotype" w:hAnsi="Palatino Linotype"/>
          <w:sz w:val="24"/>
          <w:szCs w:val="24"/>
        </w:rPr>
        <w:t xml:space="preserve">que </w:t>
      </w:r>
      <w:r w:rsidR="005D43C3" w:rsidRPr="005D43C3">
        <w:rPr>
          <w:rFonts w:ascii="Palatino Linotype" w:hAnsi="Palatino Linotype"/>
          <w:b/>
          <w:sz w:val="24"/>
          <w:szCs w:val="24"/>
        </w:rPr>
        <w:t xml:space="preserve">El Recurrente </w:t>
      </w:r>
      <w:r w:rsidR="005D43C3" w:rsidRPr="005D43C3">
        <w:rPr>
          <w:rFonts w:ascii="Palatino Linotype" w:hAnsi="Palatino Linotype"/>
          <w:sz w:val="24"/>
          <w:szCs w:val="24"/>
        </w:rPr>
        <w:t xml:space="preserve">requirió la entrega de la información mediante correo electrónico personal, lo cierto es que </w:t>
      </w:r>
      <w:r w:rsidR="00453637">
        <w:rPr>
          <w:rFonts w:ascii="Palatino Linotype" w:hAnsi="Palatino Linotype"/>
          <w:sz w:val="24"/>
          <w:szCs w:val="24"/>
        </w:rPr>
        <w:t xml:space="preserve">las </w:t>
      </w:r>
      <w:r w:rsidR="00453637" w:rsidRPr="00453637">
        <w:rPr>
          <w:rFonts w:ascii="Palatino Linotype" w:hAnsi="Palatino Linotype"/>
          <w:sz w:val="24"/>
          <w:szCs w:val="24"/>
        </w:rPr>
        <w:t xml:space="preserve">consideraciones expuestas en los recursos de revisión deben de reflejarse en los </w:t>
      </w:r>
      <w:r w:rsidR="00453637" w:rsidRPr="00453637">
        <w:rPr>
          <w:rFonts w:ascii="Palatino Linotype" w:hAnsi="Palatino Linotype"/>
          <w:sz w:val="24"/>
          <w:szCs w:val="24"/>
        </w:rPr>
        <w:lastRenderedPageBreak/>
        <w:t xml:space="preserve">puntos resolutivos, </w:t>
      </w:r>
      <w:r w:rsidR="008F35D7">
        <w:rPr>
          <w:rFonts w:ascii="Palatino Linotype" w:hAnsi="Palatino Linotype"/>
          <w:sz w:val="24"/>
          <w:szCs w:val="24"/>
        </w:rPr>
        <w:t>por ello, se debió de precisar en dichos puntos que la entrega de la información resulta procedente vía Sistema de Acceso a la Información Mexiquense “SAIMEX” y correo electrónico, y</w:t>
      </w:r>
      <w:r w:rsidR="001F5D24" w:rsidRPr="00453637">
        <w:rPr>
          <w:rFonts w:ascii="Palatino Linotype" w:hAnsi="Palatino Linotype"/>
          <w:sz w:val="24"/>
          <w:szCs w:val="24"/>
        </w:rPr>
        <w:t xml:space="preserve"> es en ese sentido como he de emi</w:t>
      </w:r>
      <w:r w:rsidR="00441139" w:rsidRPr="00453637">
        <w:rPr>
          <w:rFonts w:ascii="Palatino Linotype" w:hAnsi="Palatino Linotype"/>
          <w:sz w:val="24"/>
          <w:szCs w:val="24"/>
        </w:rPr>
        <w:t>tir el presente voto particular.</w:t>
      </w:r>
      <w:r w:rsidR="00441139">
        <w:rPr>
          <w:rFonts w:ascii="Palatino Linotype" w:hAnsi="Palatino Linotype"/>
        </w:rPr>
        <w:t xml:space="preserve"> </w:t>
      </w:r>
    </w:p>
    <w:p w:rsidR="009712F5" w:rsidRDefault="009712F5" w:rsidP="003A327A">
      <w:pPr>
        <w:spacing w:after="0" w:line="360" w:lineRule="auto"/>
        <w:jc w:val="both"/>
        <w:rPr>
          <w:rFonts w:ascii="Palatino Linotype" w:hAnsi="Palatino Linotype"/>
        </w:rPr>
      </w:pPr>
    </w:p>
    <w:p w:rsidR="00A96753" w:rsidRDefault="00A96753" w:rsidP="003A327A">
      <w:pPr>
        <w:spacing w:after="0" w:line="360" w:lineRule="auto"/>
        <w:jc w:val="both"/>
        <w:rPr>
          <w:rFonts w:ascii="Palatino Linotype" w:hAnsi="Palatino Linotype"/>
        </w:rPr>
      </w:pPr>
    </w:p>
    <w:p w:rsidR="009712F5" w:rsidRDefault="009712F5" w:rsidP="003A327A">
      <w:pPr>
        <w:spacing w:after="0" w:line="360" w:lineRule="auto"/>
        <w:jc w:val="both"/>
        <w:rPr>
          <w:rFonts w:ascii="Palatino Linotype" w:hAnsi="Palatino Linotype"/>
        </w:rPr>
      </w:pPr>
    </w:p>
    <w:p w:rsidR="00D10DA4" w:rsidRDefault="00D10DA4" w:rsidP="003A327A">
      <w:pPr>
        <w:spacing w:after="0" w:line="360" w:lineRule="auto"/>
        <w:jc w:val="both"/>
        <w:rPr>
          <w:rFonts w:ascii="Palatino Linotype" w:hAnsi="Palatino Linotype"/>
        </w:rPr>
      </w:pPr>
    </w:p>
    <w:p w:rsidR="00615762" w:rsidRDefault="00615762" w:rsidP="003A327A">
      <w:pPr>
        <w:spacing w:after="0" w:line="360" w:lineRule="auto"/>
        <w:jc w:val="both"/>
        <w:rPr>
          <w:rFonts w:ascii="Palatino Linotype" w:hAnsi="Palatino Linotype"/>
        </w:rPr>
      </w:pPr>
    </w:p>
    <w:p w:rsidR="00265DEA" w:rsidRDefault="00265DEA" w:rsidP="00265DEA">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265DEA" w:rsidRDefault="00265DEA" w:rsidP="00265DEA">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001252">
        <w:rPr>
          <w:rFonts w:ascii="Palatino Linotype" w:hAnsi="Palatino Linotype"/>
          <w:b/>
          <w:sz w:val="24"/>
          <w:szCs w:val="24"/>
        </w:rPr>
        <w:t xml:space="preserve"> Presidenta</w:t>
      </w:r>
    </w:p>
    <w:p w:rsidR="00265DEA" w:rsidRDefault="00265DEA" w:rsidP="00265DEA">
      <w:pPr>
        <w:spacing w:after="0" w:line="360" w:lineRule="auto"/>
        <w:jc w:val="both"/>
        <w:rPr>
          <w:rFonts w:ascii="Palatino Linotype" w:hAnsi="Palatino Linotype"/>
          <w:sz w:val="16"/>
          <w:szCs w:val="20"/>
        </w:rPr>
      </w:pPr>
    </w:p>
    <w:p w:rsidR="004F09AD" w:rsidRDefault="004F09AD" w:rsidP="00265DEA">
      <w:pPr>
        <w:spacing w:after="0" w:line="360" w:lineRule="auto"/>
        <w:jc w:val="both"/>
        <w:rPr>
          <w:rFonts w:ascii="Palatino Linotype" w:hAnsi="Palatino Linotype"/>
          <w:sz w:val="16"/>
          <w:szCs w:val="20"/>
        </w:rPr>
      </w:pPr>
    </w:p>
    <w:p w:rsidR="00C740F5" w:rsidRDefault="00C740F5" w:rsidP="00265DEA">
      <w:pPr>
        <w:spacing w:after="0" w:line="360" w:lineRule="auto"/>
        <w:jc w:val="both"/>
        <w:rPr>
          <w:rFonts w:ascii="Palatino Linotype" w:hAnsi="Palatino Linotype"/>
          <w:sz w:val="16"/>
          <w:szCs w:val="20"/>
        </w:rPr>
      </w:pPr>
    </w:p>
    <w:p w:rsidR="00C2035F" w:rsidRDefault="00C2035F" w:rsidP="00265DEA">
      <w:pPr>
        <w:spacing w:after="0" w:line="360" w:lineRule="auto"/>
        <w:jc w:val="both"/>
        <w:rPr>
          <w:rFonts w:ascii="Palatino Linotype" w:hAnsi="Palatino Linotype"/>
          <w:sz w:val="20"/>
          <w:szCs w:val="20"/>
        </w:rPr>
      </w:pPr>
    </w:p>
    <w:p w:rsidR="00C2035F" w:rsidRDefault="00C2035F" w:rsidP="00265DEA">
      <w:pPr>
        <w:spacing w:after="0" w:line="360" w:lineRule="auto"/>
        <w:jc w:val="both"/>
        <w:rPr>
          <w:rFonts w:ascii="Palatino Linotype" w:hAnsi="Palatino Linotype"/>
          <w:sz w:val="20"/>
          <w:szCs w:val="20"/>
        </w:rPr>
      </w:pPr>
    </w:p>
    <w:p w:rsidR="00441139" w:rsidRDefault="00441139" w:rsidP="00265DEA">
      <w:pPr>
        <w:spacing w:after="0" w:line="360" w:lineRule="auto"/>
        <w:jc w:val="both"/>
        <w:rPr>
          <w:rFonts w:ascii="Palatino Linotype" w:hAnsi="Palatino Linotype"/>
          <w:sz w:val="20"/>
          <w:szCs w:val="20"/>
        </w:rPr>
      </w:pPr>
    </w:p>
    <w:p w:rsidR="00441139" w:rsidRDefault="00441139" w:rsidP="00265DEA">
      <w:pPr>
        <w:spacing w:after="0" w:line="360" w:lineRule="auto"/>
        <w:jc w:val="both"/>
        <w:rPr>
          <w:rFonts w:ascii="Palatino Linotype" w:hAnsi="Palatino Linotype"/>
          <w:sz w:val="20"/>
          <w:szCs w:val="20"/>
        </w:rPr>
      </w:pPr>
    </w:p>
    <w:p w:rsidR="00C26B6E" w:rsidRDefault="00C26B6E" w:rsidP="00265DEA">
      <w:pPr>
        <w:spacing w:after="0" w:line="360" w:lineRule="auto"/>
        <w:jc w:val="both"/>
        <w:rPr>
          <w:rFonts w:ascii="Palatino Linotype" w:hAnsi="Palatino Linotype"/>
          <w:sz w:val="20"/>
          <w:szCs w:val="20"/>
        </w:rPr>
      </w:pPr>
    </w:p>
    <w:p w:rsidR="00C2035F" w:rsidRDefault="00C2035F" w:rsidP="00265DEA">
      <w:pPr>
        <w:spacing w:after="0" w:line="360" w:lineRule="auto"/>
        <w:jc w:val="both"/>
        <w:rPr>
          <w:rFonts w:ascii="Palatino Linotype" w:hAnsi="Palatino Linotype"/>
          <w:sz w:val="20"/>
          <w:szCs w:val="20"/>
        </w:rPr>
      </w:pPr>
    </w:p>
    <w:p w:rsidR="00453637" w:rsidRDefault="00453637" w:rsidP="00265DEA">
      <w:pPr>
        <w:spacing w:after="0" w:line="360" w:lineRule="auto"/>
        <w:jc w:val="both"/>
        <w:rPr>
          <w:rFonts w:ascii="Palatino Linotype" w:hAnsi="Palatino Linotype"/>
          <w:sz w:val="20"/>
          <w:szCs w:val="20"/>
        </w:rPr>
      </w:pPr>
    </w:p>
    <w:p w:rsidR="00453637" w:rsidRDefault="00453637" w:rsidP="00265DEA">
      <w:pPr>
        <w:spacing w:after="0" w:line="360" w:lineRule="auto"/>
        <w:jc w:val="both"/>
        <w:rPr>
          <w:rFonts w:ascii="Palatino Linotype" w:hAnsi="Palatino Linotype"/>
          <w:sz w:val="20"/>
          <w:szCs w:val="20"/>
        </w:rPr>
      </w:pPr>
    </w:p>
    <w:p w:rsidR="002B2DC5" w:rsidRDefault="002B2DC5" w:rsidP="00265DEA">
      <w:pPr>
        <w:spacing w:after="0" w:line="360" w:lineRule="auto"/>
        <w:jc w:val="both"/>
        <w:rPr>
          <w:rFonts w:ascii="Palatino Linotype" w:hAnsi="Palatino Linotype"/>
          <w:sz w:val="20"/>
          <w:szCs w:val="20"/>
        </w:rPr>
      </w:pPr>
    </w:p>
    <w:p w:rsidR="00001252" w:rsidRPr="00001252" w:rsidRDefault="00C2035F" w:rsidP="00265DEA">
      <w:pPr>
        <w:spacing w:after="0" w:line="360" w:lineRule="auto"/>
        <w:jc w:val="both"/>
        <w:rPr>
          <w:rFonts w:ascii="Palatino Linotype" w:hAnsi="Palatino Linotype"/>
          <w:sz w:val="20"/>
          <w:szCs w:val="20"/>
        </w:rPr>
      </w:pPr>
      <w:r>
        <w:rPr>
          <w:rFonts w:ascii="Palatino Linotype" w:hAnsi="Palatino Linotype"/>
          <w:sz w:val="20"/>
          <w:szCs w:val="20"/>
        </w:rPr>
        <w:t>E</w:t>
      </w:r>
      <w:r w:rsidR="00001252">
        <w:rPr>
          <w:rFonts w:ascii="Palatino Linotype" w:hAnsi="Palatino Linotype"/>
          <w:sz w:val="20"/>
          <w:szCs w:val="20"/>
        </w:rPr>
        <w:t>sta hoja corresponde al voto particular emitido</w:t>
      </w:r>
      <w:r w:rsidR="00453637">
        <w:rPr>
          <w:rFonts w:ascii="Palatino Linotype" w:hAnsi="Palatino Linotype"/>
          <w:sz w:val="20"/>
          <w:szCs w:val="20"/>
        </w:rPr>
        <w:t xml:space="preserve"> en el recurso de revisión 03887</w:t>
      </w:r>
      <w:r w:rsidR="00001252">
        <w:rPr>
          <w:rFonts w:ascii="Palatino Linotype" w:hAnsi="Palatino Linotype"/>
          <w:sz w:val="20"/>
          <w:szCs w:val="20"/>
        </w:rPr>
        <w:t xml:space="preserve">/INFOEM/IP/RR/2018 en fecha </w:t>
      </w:r>
      <w:r w:rsidR="00453637">
        <w:rPr>
          <w:rFonts w:ascii="Palatino Linotype" w:hAnsi="Palatino Linotype"/>
          <w:sz w:val="20"/>
          <w:szCs w:val="20"/>
        </w:rPr>
        <w:t>doce de diciembre</w:t>
      </w:r>
      <w:r w:rsidR="00001252">
        <w:rPr>
          <w:rFonts w:ascii="Palatino Linotype" w:hAnsi="Palatino Linotype"/>
          <w:sz w:val="20"/>
          <w:szCs w:val="20"/>
        </w:rPr>
        <w:t xml:space="preserve"> de dos mil dieciocho. </w:t>
      </w:r>
    </w:p>
    <w:p w:rsidR="00AC0505" w:rsidRPr="009712F5" w:rsidRDefault="00265DEA" w:rsidP="00AC0505">
      <w:pPr>
        <w:spacing w:after="0" w:line="360" w:lineRule="auto"/>
        <w:jc w:val="both"/>
        <w:rPr>
          <w:rFonts w:ascii="Palatino Linotype" w:hAnsi="Palatino Linotype"/>
          <w:b/>
          <w:sz w:val="24"/>
          <w:szCs w:val="24"/>
        </w:rPr>
      </w:pPr>
      <w:r w:rsidRPr="009712F5">
        <w:rPr>
          <w:rFonts w:ascii="Palatino Linotype" w:hAnsi="Palatino Linotype"/>
          <w:b/>
          <w:sz w:val="20"/>
          <w:szCs w:val="20"/>
        </w:rPr>
        <w:t>OSAM/JCMA</w:t>
      </w:r>
      <w:r w:rsidR="00001252" w:rsidRPr="009712F5">
        <w:rPr>
          <w:rFonts w:ascii="Palatino Linotype" w:hAnsi="Palatino Linotype"/>
          <w:b/>
          <w:sz w:val="20"/>
          <w:szCs w:val="20"/>
        </w:rPr>
        <w:t xml:space="preserve"> </w:t>
      </w:r>
    </w:p>
    <w:sectPr w:rsidR="00AC0505" w:rsidRPr="009712F5" w:rsidSect="00115CE3">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FB5" w:rsidRDefault="000C7FB5" w:rsidP="00AC0505">
      <w:pPr>
        <w:spacing w:after="0" w:line="240" w:lineRule="auto"/>
      </w:pPr>
      <w:r>
        <w:separator/>
      </w:r>
    </w:p>
  </w:endnote>
  <w:endnote w:type="continuationSeparator" w:id="0">
    <w:p w:rsidR="000C7FB5" w:rsidRDefault="000C7FB5"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B837D5">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B837D5">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p>
  <w:p w:rsidR="00D758BE" w:rsidRDefault="000C7FB5"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FB5" w:rsidRDefault="000C7FB5" w:rsidP="00AC0505">
      <w:pPr>
        <w:spacing w:after="0" w:line="240" w:lineRule="auto"/>
      </w:pPr>
      <w:r>
        <w:separator/>
      </w:r>
    </w:p>
  </w:footnote>
  <w:footnote w:type="continuationSeparator" w:id="0">
    <w:p w:rsidR="000C7FB5" w:rsidRDefault="000C7FB5"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0C7FB5"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0C7FB5" w:rsidP="007263BB">
    <w:pPr>
      <w:pStyle w:val="Encabezado"/>
      <w:jc w:val="right"/>
      <w:rPr>
        <w:rFonts w:ascii="Arial" w:hAnsi="Arial" w:cs="Arial"/>
        <w:sz w:val="20"/>
        <w:szCs w:val="20"/>
      </w:rPr>
    </w:pPr>
  </w:p>
  <w:p w:rsidR="00D758BE" w:rsidRDefault="000C7FB5"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RECURSO DE REVISIÓN 0</w:t>
    </w:r>
    <w:r w:rsidR="00AA34F7">
      <w:rPr>
        <w:rFonts w:ascii="Palatino Linotype" w:hAnsi="Palatino Linotype" w:cs="Arial"/>
        <w:b/>
        <w:sz w:val="19"/>
        <w:szCs w:val="19"/>
      </w:rPr>
      <w:t>3887</w:t>
    </w:r>
    <w:r w:rsidRPr="009122C0">
      <w:rPr>
        <w:rFonts w:ascii="Palatino Linotype" w:hAnsi="Palatino Linotype" w:cs="Arial"/>
        <w:b/>
        <w:sz w:val="19"/>
        <w:szCs w:val="19"/>
      </w:rPr>
      <w:t>/INFOEM/IP/RR/201</w:t>
    </w:r>
    <w:r w:rsidR="00A56FBB">
      <w:rPr>
        <w:rFonts w:ascii="Palatino Linotype" w:hAnsi="Palatino Linotype" w:cs="Arial"/>
        <w:b/>
        <w:sz w:val="19"/>
        <w:szCs w:val="19"/>
      </w:rPr>
      <w:t>8</w:t>
    </w:r>
    <w:r w:rsidR="00B85385" w:rsidRPr="009122C0">
      <w:rPr>
        <w:rFonts w:ascii="Palatino Linotype" w:hAnsi="Palatino Linotype" w:cs="Arial"/>
        <w:b/>
        <w:sz w:val="19"/>
        <w:szCs w:val="19"/>
      </w:rPr>
      <w:t xml:space="preserve"> </w:t>
    </w:r>
  </w:p>
  <w:p w:rsidR="00D758BE" w:rsidRPr="009122C0" w:rsidRDefault="000C7FB5" w:rsidP="007263BB">
    <w:pPr>
      <w:pStyle w:val="Encabezado"/>
      <w:jc w:val="right"/>
      <w:rPr>
        <w:rFonts w:ascii="Palatino Linotype" w:hAnsi="Palatino Linotype" w:cs="Arial"/>
        <w:sz w:val="19"/>
        <w:szCs w:val="19"/>
      </w:rPr>
    </w:pPr>
  </w:p>
  <w:p w:rsidR="00233AB2" w:rsidRDefault="000C7FB5"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 w15:restartNumberingAfterBreak="0">
    <w:nsid w:val="14053261"/>
    <w:multiLevelType w:val="hybridMultilevel"/>
    <w:tmpl w:val="89A63D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EF045E"/>
    <w:multiLevelType w:val="hybridMultilevel"/>
    <w:tmpl w:val="C6B6B2EA"/>
    <w:lvl w:ilvl="0" w:tplc="BF3AA92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A997D30"/>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7730811"/>
    <w:multiLevelType w:val="hybridMultilevel"/>
    <w:tmpl w:val="649E9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26069A"/>
    <w:multiLevelType w:val="hybridMultilevel"/>
    <w:tmpl w:val="7736BE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796DC4"/>
    <w:multiLevelType w:val="hybridMultilevel"/>
    <w:tmpl w:val="9948E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0D6D59"/>
    <w:multiLevelType w:val="hybridMultilevel"/>
    <w:tmpl w:val="F4D64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4E06B0"/>
    <w:multiLevelType w:val="hybridMultilevel"/>
    <w:tmpl w:val="97D672B4"/>
    <w:lvl w:ilvl="0" w:tplc="8310749C">
      <w:start w:val="1"/>
      <w:numFmt w:val="upperRoman"/>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F52B3F"/>
    <w:multiLevelType w:val="hybridMultilevel"/>
    <w:tmpl w:val="4BF8EFBC"/>
    <w:lvl w:ilvl="0" w:tplc="0354E69A">
      <w:start w:val="2058"/>
      <w:numFmt w:val="bullet"/>
      <w:lvlText w:val="-"/>
      <w:lvlJc w:val="left"/>
      <w:pPr>
        <w:ind w:left="720" w:hanging="360"/>
      </w:pPr>
      <w:rPr>
        <w:rFonts w:ascii="Palatino Linotype" w:eastAsiaTheme="minorHAnsi" w:hAnsi="Palatino Linotype"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3"/>
  </w:num>
  <w:num w:numId="6">
    <w:abstractNumId w:val="2"/>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01252"/>
    <w:rsid w:val="00052AAA"/>
    <w:rsid w:val="00054E77"/>
    <w:rsid w:val="0005701A"/>
    <w:rsid w:val="00074E4D"/>
    <w:rsid w:val="0009400C"/>
    <w:rsid w:val="000B654C"/>
    <w:rsid w:val="000B6A84"/>
    <w:rsid w:val="000C5F93"/>
    <w:rsid w:val="000C7FB5"/>
    <w:rsid w:val="00142BAA"/>
    <w:rsid w:val="001530B1"/>
    <w:rsid w:val="00153609"/>
    <w:rsid w:val="001907CA"/>
    <w:rsid w:val="001C51EC"/>
    <w:rsid w:val="001E3F2C"/>
    <w:rsid w:val="001F59FD"/>
    <w:rsid w:val="001F5D24"/>
    <w:rsid w:val="0024254B"/>
    <w:rsid w:val="00245929"/>
    <w:rsid w:val="002562E3"/>
    <w:rsid w:val="00265DEA"/>
    <w:rsid w:val="002903E3"/>
    <w:rsid w:val="002A5ADD"/>
    <w:rsid w:val="002B2DC5"/>
    <w:rsid w:val="00334DEA"/>
    <w:rsid w:val="00374A7C"/>
    <w:rsid w:val="00385699"/>
    <w:rsid w:val="0038638F"/>
    <w:rsid w:val="003A327A"/>
    <w:rsid w:val="003B4510"/>
    <w:rsid w:val="00441139"/>
    <w:rsid w:val="00452958"/>
    <w:rsid w:val="00453637"/>
    <w:rsid w:val="0046060B"/>
    <w:rsid w:val="00472D9C"/>
    <w:rsid w:val="004C4149"/>
    <w:rsid w:val="004E2907"/>
    <w:rsid w:val="004F09AD"/>
    <w:rsid w:val="00506CDE"/>
    <w:rsid w:val="00520B08"/>
    <w:rsid w:val="0056688A"/>
    <w:rsid w:val="00597ACE"/>
    <w:rsid w:val="005D43C3"/>
    <w:rsid w:val="00614BBE"/>
    <w:rsid w:val="00615762"/>
    <w:rsid w:val="00620AE6"/>
    <w:rsid w:val="00637ED3"/>
    <w:rsid w:val="0069147F"/>
    <w:rsid w:val="006A17A6"/>
    <w:rsid w:val="00754875"/>
    <w:rsid w:val="00786579"/>
    <w:rsid w:val="0078712B"/>
    <w:rsid w:val="00816CB7"/>
    <w:rsid w:val="00835460"/>
    <w:rsid w:val="008F35D7"/>
    <w:rsid w:val="009122C0"/>
    <w:rsid w:val="009712F5"/>
    <w:rsid w:val="00A0044D"/>
    <w:rsid w:val="00A145B1"/>
    <w:rsid w:val="00A37D01"/>
    <w:rsid w:val="00A56FBB"/>
    <w:rsid w:val="00A6641D"/>
    <w:rsid w:val="00A77DB5"/>
    <w:rsid w:val="00A81D63"/>
    <w:rsid w:val="00A87336"/>
    <w:rsid w:val="00A87F2F"/>
    <w:rsid w:val="00A96753"/>
    <w:rsid w:val="00AA34F7"/>
    <w:rsid w:val="00AC0505"/>
    <w:rsid w:val="00AC56D7"/>
    <w:rsid w:val="00AC6F28"/>
    <w:rsid w:val="00AD54F7"/>
    <w:rsid w:val="00AE7B0A"/>
    <w:rsid w:val="00AF4853"/>
    <w:rsid w:val="00B02FAE"/>
    <w:rsid w:val="00B13428"/>
    <w:rsid w:val="00B30BE2"/>
    <w:rsid w:val="00B7710E"/>
    <w:rsid w:val="00B7718D"/>
    <w:rsid w:val="00B825CF"/>
    <w:rsid w:val="00B837D5"/>
    <w:rsid w:val="00B85385"/>
    <w:rsid w:val="00BA6F7E"/>
    <w:rsid w:val="00BB4DDD"/>
    <w:rsid w:val="00BC1D93"/>
    <w:rsid w:val="00C00A80"/>
    <w:rsid w:val="00C2035F"/>
    <w:rsid w:val="00C26B6E"/>
    <w:rsid w:val="00C70660"/>
    <w:rsid w:val="00C740F5"/>
    <w:rsid w:val="00C7711C"/>
    <w:rsid w:val="00CA6429"/>
    <w:rsid w:val="00CC5301"/>
    <w:rsid w:val="00CD106E"/>
    <w:rsid w:val="00CE6377"/>
    <w:rsid w:val="00D10DA4"/>
    <w:rsid w:val="00D14EE5"/>
    <w:rsid w:val="00D159B0"/>
    <w:rsid w:val="00D5179C"/>
    <w:rsid w:val="00DB4459"/>
    <w:rsid w:val="00DD0673"/>
    <w:rsid w:val="00E10CC9"/>
    <w:rsid w:val="00E3725C"/>
    <w:rsid w:val="00E7438C"/>
    <w:rsid w:val="00EB4018"/>
    <w:rsid w:val="00F13B9C"/>
    <w:rsid w:val="00F34951"/>
    <w:rsid w:val="00F349C7"/>
    <w:rsid w:val="00F53518"/>
    <w:rsid w:val="00F70441"/>
    <w:rsid w:val="00FA30C9"/>
    <w:rsid w:val="00FD2FB0"/>
    <w:rsid w:val="00FE63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customStyle="1" w:styleId="Default">
    <w:name w:val="Default"/>
    <w:rsid w:val="004E2907"/>
    <w:pPr>
      <w:autoSpaceDE w:val="0"/>
      <w:autoSpaceDN w:val="0"/>
      <w:adjustRightInd w:val="0"/>
      <w:spacing w:after="0" w:line="240" w:lineRule="auto"/>
    </w:pPr>
    <w:rPr>
      <w:rFonts w:ascii="Cambria" w:hAnsi="Cambria" w:cs="Cambria"/>
      <w:color w:val="000000"/>
      <w:sz w:val="24"/>
      <w:szCs w:val="24"/>
    </w:rPr>
  </w:style>
  <w:style w:type="character" w:customStyle="1" w:styleId="red">
    <w:name w:val="red"/>
    <w:basedOn w:val="Fuentedeprrafopredeter"/>
    <w:rsid w:val="00BC1D93"/>
  </w:style>
  <w:style w:type="character" w:styleId="Hipervnculo">
    <w:name w:val="Hyperlink"/>
    <w:basedOn w:val="Fuentedeprrafopredeter"/>
    <w:uiPriority w:val="99"/>
    <w:semiHidden/>
    <w:unhideWhenUsed/>
    <w:rsid w:val="00BC1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7815">
      <w:bodyDiv w:val="1"/>
      <w:marLeft w:val="0"/>
      <w:marRight w:val="0"/>
      <w:marTop w:val="0"/>
      <w:marBottom w:val="0"/>
      <w:divBdr>
        <w:top w:val="none" w:sz="0" w:space="0" w:color="auto"/>
        <w:left w:val="none" w:sz="0" w:space="0" w:color="auto"/>
        <w:bottom w:val="none" w:sz="0" w:space="0" w:color="auto"/>
        <w:right w:val="none" w:sz="0" w:space="0" w:color="auto"/>
      </w:divBdr>
      <w:divsChild>
        <w:div w:id="1484422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581891.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2018-12-18T00:05:00Z</cp:lastPrinted>
  <dcterms:created xsi:type="dcterms:W3CDTF">2019-01-24T20:50:00Z</dcterms:created>
  <dcterms:modified xsi:type="dcterms:W3CDTF">2019-02-22T19:46:00Z</dcterms:modified>
</cp:coreProperties>
</file>